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32F" w:rsidRPr="00A7032F" w:rsidRDefault="00A7032F" w:rsidP="00B46A30">
      <w:pPr>
        <w:shd w:val="clear" w:color="auto" w:fill="FFFFFF"/>
        <w:spacing w:after="0" w:line="360" w:lineRule="auto"/>
        <w:ind w:firstLine="397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ru-RU"/>
        </w:rPr>
      </w:pPr>
      <w:r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ru-RU"/>
        </w:rPr>
        <w:t>УДК</w:t>
      </w:r>
    </w:p>
    <w:p w:rsidR="00A7032F" w:rsidRPr="00A7032F" w:rsidRDefault="00A7032F" w:rsidP="00B46A30">
      <w:pPr>
        <w:shd w:val="clear" w:color="auto" w:fill="FFFFFF"/>
        <w:spacing w:after="0" w:line="360" w:lineRule="auto"/>
        <w:ind w:firstLine="397"/>
        <w:jc w:val="center"/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val="en-US" w:eastAsia="ru-RU"/>
        </w:rPr>
      </w:pPr>
    </w:p>
    <w:p w:rsidR="00C02D1E" w:rsidRPr="00F203AC" w:rsidRDefault="00A7032F" w:rsidP="00B46A30">
      <w:pPr>
        <w:shd w:val="clear" w:color="auto" w:fill="FFFFFF"/>
        <w:spacing w:after="0" w:line="360" w:lineRule="auto"/>
        <w:ind w:firstLine="397"/>
        <w:jc w:val="center"/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val="en-US" w:eastAsia="ru-RU"/>
        </w:rPr>
      </w:pPr>
      <w:r w:rsidRPr="00A7032F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val="en-US" w:eastAsia="ru-RU"/>
        </w:rPr>
        <w:t>LOCATING A SINGLE-PHASE EARTH FAULTS IN NETWORKS WITH ISOLATED NEUTRAL</w:t>
      </w:r>
    </w:p>
    <w:p w:rsidR="00A7032F" w:rsidRPr="00F203AC" w:rsidRDefault="00A7032F" w:rsidP="00B46A30">
      <w:pPr>
        <w:shd w:val="clear" w:color="auto" w:fill="FFFFFF"/>
        <w:spacing w:after="0" w:line="360" w:lineRule="auto"/>
        <w:ind w:firstLine="397"/>
        <w:jc w:val="both"/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val="en-US" w:eastAsia="ru-RU"/>
        </w:rPr>
      </w:pPr>
    </w:p>
    <w:p w:rsidR="00A7032F" w:rsidRPr="00A7032F" w:rsidRDefault="00A7032F" w:rsidP="00B46A30">
      <w:pPr>
        <w:shd w:val="clear" w:color="auto" w:fill="FFFFFF"/>
        <w:spacing w:after="0" w:line="360" w:lineRule="auto"/>
        <w:ind w:firstLine="397"/>
        <w:jc w:val="center"/>
        <w:rPr>
          <w:rFonts w:asciiTheme="minorHAnsi" w:eastAsia="Times New Roman" w:hAnsiTheme="minorHAnsi" w:cstheme="minorHAnsi"/>
          <w:b/>
          <w:i/>
          <w:color w:val="000000" w:themeColor="text1"/>
          <w:sz w:val="24"/>
          <w:szCs w:val="24"/>
          <w:lang w:val="en-US" w:eastAsia="ru-RU"/>
        </w:rPr>
      </w:pPr>
      <w:proofErr w:type="spellStart"/>
      <w:r w:rsidRPr="00A7032F">
        <w:rPr>
          <w:rFonts w:asciiTheme="minorHAnsi" w:eastAsia="Times New Roman" w:hAnsiTheme="minorHAnsi" w:cstheme="minorHAnsi"/>
          <w:b/>
          <w:i/>
          <w:color w:val="000000" w:themeColor="text1"/>
          <w:sz w:val="24"/>
          <w:szCs w:val="24"/>
          <w:lang w:val="en-US" w:eastAsia="ru-RU"/>
        </w:rPr>
        <w:t>Gatina</w:t>
      </w:r>
      <w:proofErr w:type="spellEnd"/>
      <w:r w:rsidRPr="00A7032F">
        <w:rPr>
          <w:rFonts w:asciiTheme="minorHAnsi" w:eastAsia="Times New Roman" w:hAnsiTheme="minorHAnsi" w:cstheme="minorHAnsi"/>
          <w:b/>
          <w:i/>
          <w:color w:val="000000" w:themeColor="text1"/>
          <w:sz w:val="24"/>
          <w:szCs w:val="24"/>
          <w:lang w:val="en-US" w:eastAsia="ru-RU"/>
        </w:rPr>
        <w:t xml:space="preserve"> D.R.</w:t>
      </w:r>
    </w:p>
    <w:p w:rsidR="00A7032F" w:rsidRPr="00A7032F" w:rsidRDefault="00A7032F" w:rsidP="00B46A30">
      <w:pPr>
        <w:tabs>
          <w:tab w:val="left" w:pos="0"/>
        </w:tabs>
        <w:spacing w:after="0" w:line="360" w:lineRule="auto"/>
        <w:ind w:firstLine="397"/>
        <w:jc w:val="center"/>
        <w:rPr>
          <w:rFonts w:asciiTheme="minorHAnsi" w:hAnsiTheme="minorHAnsi" w:cstheme="minorHAnsi"/>
          <w:sz w:val="24"/>
          <w:szCs w:val="24"/>
          <w:lang w:val="en-US"/>
        </w:rPr>
      </w:pPr>
      <w:r w:rsidRPr="00A7032F">
        <w:rPr>
          <w:rFonts w:asciiTheme="minorHAnsi" w:hAnsiTheme="minorHAnsi" w:cstheme="minorHAnsi"/>
          <w:sz w:val="24"/>
          <w:szCs w:val="24"/>
          <w:lang w:val="en-US"/>
        </w:rPr>
        <w:t xml:space="preserve">Scientific advisor: </w:t>
      </w:r>
      <w:proofErr w:type="spellStart"/>
      <w:r>
        <w:rPr>
          <w:rFonts w:asciiTheme="minorHAnsi" w:hAnsiTheme="minorHAnsi" w:cstheme="minorHAnsi"/>
          <w:sz w:val="24"/>
          <w:szCs w:val="24"/>
          <w:lang w:val="en-US"/>
        </w:rPr>
        <w:t>Yu.V</w:t>
      </w:r>
      <w:proofErr w:type="spellEnd"/>
      <w:r>
        <w:rPr>
          <w:rFonts w:asciiTheme="minorHAnsi" w:hAnsiTheme="minorHAnsi" w:cstheme="minorHAnsi"/>
          <w:sz w:val="24"/>
          <w:szCs w:val="24"/>
          <w:lang w:val="en-US"/>
        </w:rPr>
        <w:t xml:space="preserve">. </w:t>
      </w:r>
      <w:proofErr w:type="spellStart"/>
      <w:r>
        <w:rPr>
          <w:rFonts w:asciiTheme="minorHAnsi" w:hAnsiTheme="minorHAnsi" w:cstheme="minorHAnsi"/>
          <w:sz w:val="24"/>
          <w:szCs w:val="24"/>
          <w:lang w:val="en-US"/>
        </w:rPr>
        <w:t>Piskovatsky</w:t>
      </w:r>
      <w:proofErr w:type="spellEnd"/>
      <w:r w:rsidRPr="00A7032F">
        <w:rPr>
          <w:rFonts w:asciiTheme="minorHAnsi" w:hAnsiTheme="minorHAnsi" w:cstheme="minorHAnsi"/>
          <w:sz w:val="24"/>
          <w:szCs w:val="24"/>
          <w:lang w:val="en-US"/>
        </w:rPr>
        <w:t xml:space="preserve">, </w:t>
      </w:r>
      <w:r>
        <w:rPr>
          <w:rFonts w:asciiTheme="minorHAnsi" w:hAnsiTheme="minorHAnsi" w:cstheme="minorHAnsi"/>
          <w:sz w:val="24"/>
          <w:szCs w:val="24"/>
          <w:lang w:val="en-US"/>
        </w:rPr>
        <w:t>associate professor</w:t>
      </w:r>
    </w:p>
    <w:p w:rsidR="00A7032F" w:rsidRPr="00B46A30" w:rsidRDefault="00A7032F" w:rsidP="00B46A30">
      <w:pPr>
        <w:pStyle w:val="21"/>
        <w:tabs>
          <w:tab w:val="left" w:pos="0"/>
        </w:tabs>
        <w:spacing w:line="360" w:lineRule="auto"/>
        <w:ind w:firstLine="397"/>
        <w:rPr>
          <w:rFonts w:asciiTheme="minorHAnsi" w:hAnsiTheme="minorHAnsi" w:cstheme="minorHAnsi"/>
          <w:i/>
          <w:sz w:val="24"/>
          <w:szCs w:val="24"/>
          <w:lang w:val="en-US"/>
        </w:rPr>
      </w:pPr>
      <w:r w:rsidRPr="00B46A30">
        <w:rPr>
          <w:rFonts w:asciiTheme="minorHAnsi" w:hAnsiTheme="minorHAnsi" w:cstheme="minorHAnsi"/>
          <w:i/>
          <w:sz w:val="24"/>
          <w:szCs w:val="24"/>
          <w:lang w:val="en-US"/>
        </w:rPr>
        <w:t>(Kazan State Power Engineering University)</w:t>
      </w:r>
    </w:p>
    <w:p w:rsidR="00A7032F" w:rsidRPr="00A7032F" w:rsidRDefault="00A7032F" w:rsidP="00B46A30">
      <w:pPr>
        <w:shd w:val="clear" w:color="auto" w:fill="FFFFFF"/>
        <w:spacing w:after="0" w:line="360" w:lineRule="auto"/>
        <w:ind w:firstLine="397"/>
        <w:jc w:val="both"/>
        <w:rPr>
          <w:rFonts w:asciiTheme="minorHAnsi" w:eastAsia="Times New Roman" w:hAnsiTheme="minorHAnsi" w:cstheme="minorHAnsi"/>
          <w:b/>
          <w:i/>
          <w:color w:val="000000" w:themeColor="text1"/>
          <w:sz w:val="24"/>
          <w:szCs w:val="24"/>
          <w:lang w:val="en-US" w:eastAsia="ru-RU"/>
        </w:rPr>
      </w:pPr>
    </w:p>
    <w:p w:rsidR="00C02D1E" w:rsidRPr="00A7032F" w:rsidRDefault="00C02D1E" w:rsidP="00B46A30">
      <w:pPr>
        <w:shd w:val="clear" w:color="auto" w:fill="FFFFFF"/>
        <w:spacing w:after="0" w:line="360" w:lineRule="auto"/>
        <w:ind w:firstLine="397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</w:pPr>
      <w:r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>The most frequent type of fault on transmission lines is th</w:t>
      </w:r>
      <w:r w:rsidR="00775B47"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>e single-phase earth fault</w:t>
      </w:r>
      <w:r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>. Single-phase earth faults account for about 70-90% of all faults in power systems. The course of various physical processes caused by earth faults significantly depends on the mode of operation of the network neutral.</w:t>
      </w:r>
    </w:p>
    <w:p w:rsidR="00C02D1E" w:rsidRPr="00A7032F" w:rsidRDefault="00F203AC" w:rsidP="00B46A30">
      <w:pPr>
        <w:shd w:val="clear" w:color="auto" w:fill="FFFFFF"/>
        <w:spacing w:after="0" w:line="360" w:lineRule="auto"/>
        <w:ind w:firstLine="397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</w:pPr>
      <w:r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>6-35 kV networks operate o</w:t>
      </w:r>
      <w:r w:rsidR="00C02D1E"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>n isolated neutral or</w:t>
      </w:r>
      <w:r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 xml:space="preserve"> neutral earthed through a considerable</w:t>
      </w:r>
      <w:r w:rsidR="00C02D1E"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 xml:space="preserve"> </w:t>
      </w:r>
      <w:r w:rsidR="00F87518"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>additional resistance</w:t>
      </w:r>
      <w:r w:rsidR="00C02D1E"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 xml:space="preserve">. The earth fault current will be small </w:t>
      </w:r>
      <w:r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 xml:space="preserve">as there’s </w:t>
      </w:r>
      <w:r w:rsidR="00C02D1E"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>no closed circuit</w:t>
      </w:r>
      <w:r w:rsidR="00F87518"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 xml:space="preserve"> for current flow</w:t>
      </w:r>
      <w:r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 xml:space="preserve"> </w:t>
      </w:r>
      <w:r w:rsidRPr="00F203AC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>due to the insulation of the neutral</w:t>
      </w:r>
      <w:r w:rsidR="00C02D1E" w:rsidRPr="00F203AC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>.</w:t>
      </w:r>
      <w:r w:rsidR="00C02D1E"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 xml:space="preserve"> A single-phase ground fault is through the capacitances of the undamaged phases. This current is about 10-30 A, which is insignificant, and is determined by the capacitance of the undamaged phases. </w:t>
      </w:r>
    </w:p>
    <w:p w:rsidR="00C02D1E" w:rsidRPr="00A7032F" w:rsidRDefault="00F87518" w:rsidP="00B46A30">
      <w:pPr>
        <w:shd w:val="clear" w:color="auto" w:fill="FFFFFF"/>
        <w:spacing w:after="0" w:line="360" w:lineRule="auto"/>
        <w:ind w:firstLine="397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</w:pPr>
      <w:r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>I</w:t>
      </w:r>
      <w:r w:rsidR="00C02D1E"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>n networks with insulated neutral points, a short-circuit fault can have such dangerous consequences as:</w:t>
      </w:r>
    </w:p>
    <w:p w:rsidR="00C02D1E" w:rsidRPr="00A7032F" w:rsidRDefault="00C02D1E" w:rsidP="00B46A30">
      <w:pPr>
        <w:shd w:val="clear" w:color="auto" w:fill="FFFFFF"/>
        <w:spacing w:after="0" w:line="360" w:lineRule="auto"/>
        <w:ind w:firstLine="397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</w:pPr>
      <w:r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>1.</w:t>
      </w:r>
      <w:r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ab/>
        <w:t>Depending on the branch</w:t>
      </w:r>
      <w:r w:rsidR="00F87518"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>ing of the network</w:t>
      </w:r>
      <w:r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>, the capacitive current ranges from 0.1 to 500 A. This magnitude of current poses a danger to people</w:t>
      </w:r>
      <w:r w:rsidR="00210E54"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 xml:space="preserve"> who are</w:t>
      </w:r>
      <w:r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 xml:space="preserve"> near the fault, for which reason these faults must be identified and disconnected.</w:t>
      </w:r>
    </w:p>
    <w:p w:rsidR="00C02D1E" w:rsidRPr="00A7032F" w:rsidRDefault="00C02D1E" w:rsidP="00B46A30">
      <w:pPr>
        <w:shd w:val="clear" w:color="auto" w:fill="FFFFFF"/>
        <w:spacing w:after="0" w:line="360" w:lineRule="auto"/>
        <w:ind w:firstLine="397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</w:pPr>
      <w:r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>2.</w:t>
      </w:r>
      <w:r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ab/>
      </w:r>
      <w:r w:rsidR="00210E54"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>A single-phase ground fault</w:t>
      </w:r>
      <w:r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 xml:space="preserve"> causes an arc fault. During an </w:t>
      </w:r>
      <w:r w:rsidR="00210E54"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>arc</w:t>
      </w:r>
      <w:r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 xml:space="preserve"> fault, </w:t>
      </w:r>
      <w:proofErr w:type="spellStart"/>
      <w:r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>overvoltages</w:t>
      </w:r>
      <w:proofErr w:type="spellEnd"/>
      <w:r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 xml:space="preserve"> occur that are 2-4 times the phase voltage. The insulation </w:t>
      </w:r>
      <w:proofErr w:type="spellStart"/>
      <w:r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>can not</w:t>
      </w:r>
      <w:proofErr w:type="spellEnd"/>
      <w:r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 xml:space="preserve"> withstand these </w:t>
      </w:r>
      <w:proofErr w:type="spellStart"/>
      <w:r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>overvoltages</w:t>
      </w:r>
      <w:proofErr w:type="spellEnd"/>
      <w:r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>, so there is a risk of an insulation breakdown at any point in the network and a</w:t>
      </w:r>
      <w:r w:rsidR="00210E54"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>n occurrence</w:t>
      </w:r>
      <w:r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 xml:space="preserve"> </w:t>
      </w:r>
      <w:r w:rsidR="00210E54"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 xml:space="preserve">of </w:t>
      </w:r>
      <w:r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>double earth fault.</w:t>
      </w:r>
    </w:p>
    <w:p w:rsidR="00C02D1E" w:rsidRPr="00A7032F" w:rsidRDefault="00C02D1E" w:rsidP="00B46A30">
      <w:pPr>
        <w:shd w:val="clear" w:color="auto" w:fill="FFFFFF"/>
        <w:spacing w:after="0" w:line="360" w:lineRule="auto"/>
        <w:ind w:firstLine="397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</w:pPr>
      <w:r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>3.</w:t>
      </w:r>
      <w:r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ab/>
        <w:t xml:space="preserve">During the </w:t>
      </w:r>
      <w:r w:rsidR="00210E54"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 xml:space="preserve">process of </w:t>
      </w:r>
      <w:r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 xml:space="preserve">development and </w:t>
      </w:r>
      <w:r w:rsidR="00210E54" w:rsidRPr="00A7032F">
        <w:rPr>
          <w:rFonts w:asciiTheme="minorHAnsi" w:hAnsiTheme="minorHAnsi" w:cstheme="minorHAnsi"/>
          <w:color w:val="000000"/>
          <w:sz w:val="24"/>
          <w:szCs w:val="24"/>
          <w:lang w:val="en-US"/>
        </w:rPr>
        <w:t>liquidation</w:t>
      </w:r>
      <w:r w:rsidR="0004607A"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 xml:space="preserve"> of the</w:t>
      </w:r>
      <w:r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 xml:space="preserve"> phase-to-ground fault </w:t>
      </w:r>
      <w:r w:rsidR="00210E54"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 xml:space="preserve">occurs a </w:t>
      </w:r>
      <w:proofErr w:type="spellStart"/>
      <w:r w:rsidR="00210E54"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>ferroresonance</w:t>
      </w:r>
      <w:proofErr w:type="spellEnd"/>
      <w:r w:rsidR="00210E54"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 xml:space="preserve"> effect in voltage transformers, </w:t>
      </w:r>
      <w:r w:rsidR="0004607A"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>which</w:t>
      </w:r>
      <w:r w:rsidR="00210E54"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 xml:space="preserve"> leads to</w:t>
      </w:r>
      <w:r w:rsidR="00B46A30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 xml:space="preserve"> their premature failure [1].</w:t>
      </w:r>
    </w:p>
    <w:p w:rsidR="00F662B5" w:rsidRPr="00A7032F" w:rsidRDefault="00F22EA3" w:rsidP="00B46A30">
      <w:pPr>
        <w:shd w:val="clear" w:color="auto" w:fill="FFFFFF"/>
        <w:spacing w:after="0" w:line="360" w:lineRule="auto"/>
        <w:ind w:firstLine="397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</w:pPr>
      <w:r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>It becomes clear that it is necessary to quickly determine the location of a single-phase earth fault and to disconnect the faulted element</w:t>
      </w:r>
      <w:r w:rsidR="00F203AC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 xml:space="preserve"> – this is the purpose</w:t>
      </w:r>
      <w:bookmarkStart w:id="0" w:name="_GoBack"/>
      <w:bookmarkEnd w:id="0"/>
      <w:r w:rsidR="00F662B5"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 xml:space="preserve"> of our research</w:t>
      </w:r>
      <w:r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 xml:space="preserve">. </w:t>
      </w:r>
    </w:p>
    <w:p w:rsidR="00F22EA3" w:rsidRPr="00A7032F" w:rsidRDefault="00F22EA3" w:rsidP="00B46A30">
      <w:pPr>
        <w:shd w:val="clear" w:color="auto" w:fill="FFFFFF"/>
        <w:spacing w:after="0" w:line="360" w:lineRule="auto"/>
        <w:ind w:firstLine="397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</w:pPr>
      <w:r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>One way to do this is to determine the location of a single-phase earth fault by identifying the pole with an insulation fault.</w:t>
      </w:r>
    </w:p>
    <w:p w:rsidR="00F22EA3" w:rsidRPr="00A7032F" w:rsidRDefault="00F22EA3" w:rsidP="00B46A30">
      <w:pPr>
        <w:shd w:val="clear" w:color="auto" w:fill="FFFFFF"/>
        <w:spacing w:after="0" w:line="360" w:lineRule="auto"/>
        <w:ind w:firstLine="397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</w:pPr>
      <w:r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>How does it work? The device contains a pointer mounted on each pole with a transmitter. When the phase insulation of the pole is damaged, the pointer triggers the transmitter, which trans</w:t>
      </w:r>
      <w:r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lastRenderedPageBreak/>
        <w:t>mits the number of the damaged pole via the communication channel to the operating personnel at the receiver installed in the control room.</w:t>
      </w:r>
    </w:p>
    <w:p w:rsidR="00F22EA3" w:rsidRPr="00A7032F" w:rsidRDefault="00F22EA3" w:rsidP="00B46A30">
      <w:pPr>
        <w:shd w:val="clear" w:color="auto" w:fill="FFFFFF"/>
        <w:spacing w:after="0" w:line="360" w:lineRule="auto"/>
        <w:ind w:firstLine="397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</w:pPr>
      <w:r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>According to the proposed method, it is possible to determine the damaged line and pole, the distance to the fault location and to disconnect the damaged line with a time commensurate with several periods of the industrial frequency.</w:t>
      </w:r>
    </w:p>
    <w:p w:rsidR="000452E0" w:rsidRDefault="00775B47" w:rsidP="00B46A30">
      <w:pPr>
        <w:shd w:val="clear" w:color="auto" w:fill="FFFFFF"/>
        <w:spacing w:after="0" w:line="360" w:lineRule="auto"/>
        <w:ind w:firstLine="397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</w:pPr>
      <w:r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>Thanks to this method,</w:t>
      </w:r>
      <w:r w:rsidR="00F22EA3" w:rsidRPr="00A7032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  <w:t xml:space="preserve"> the time for determining the location of a single-phase earth fault is reduced and the material costs for fault location are reduced.</w:t>
      </w:r>
    </w:p>
    <w:p w:rsidR="004A3927" w:rsidRDefault="004A3927" w:rsidP="00B46A30">
      <w:pPr>
        <w:shd w:val="clear" w:color="auto" w:fill="FFFFFF"/>
        <w:spacing w:after="0" w:line="360" w:lineRule="auto"/>
        <w:ind w:firstLine="397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n-US" w:eastAsia="ru-RU"/>
        </w:rPr>
      </w:pPr>
    </w:p>
    <w:p w:rsidR="004A3927" w:rsidRPr="004A3927" w:rsidRDefault="004A3927" w:rsidP="00B46A30">
      <w:pPr>
        <w:tabs>
          <w:tab w:val="left" w:pos="0"/>
          <w:tab w:val="left" w:pos="391"/>
        </w:tabs>
        <w:spacing w:after="0" w:line="360" w:lineRule="auto"/>
        <w:ind w:firstLine="397"/>
        <w:jc w:val="both"/>
        <w:rPr>
          <w:rFonts w:asciiTheme="minorHAnsi" w:eastAsia="Calibri" w:hAnsiTheme="minorHAnsi" w:cstheme="minorHAnsi"/>
          <w:b/>
          <w:i/>
          <w:spacing w:val="-4"/>
          <w:sz w:val="24"/>
          <w:szCs w:val="22"/>
          <w:lang w:val="en-US"/>
        </w:rPr>
      </w:pPr>
      <w:r w:rsidRPr="004A3927">
        <w:rPr>
          <w:rFonts w:asciiTheme="minorHAnsi" w:eastAsia="Calibri" w:hAnsiTheme="minorHAnsi" w:cstheme="minorHAnsi"/>
          <w:b/>
          <w:i/>
          <w:spacing w:val="-4"/>
          <w:sz w:val="24"/>
          <w:szCs w:val="22"/>
          <w:lang w:val="en-US"/>
        </w:rPr>
        <w:t>References:</w:t>
      </w:r>
    </w:p>
    <w:p w:rsidR="004A3927" w:rsidRPr="00B46A30" w:rsidRDefault="004A3927" w:rsidP="00B46A30">
      <w:pPr>
        <w:pStyle w:val="a4"/>
        <w:spacing w:after="0" w:line="360" w:lineRule="auto"/>
        <w:ind w:left="0" w:firstLine="397"/>
        <w:jc w:val="both"/>
        <w:rPr>
          <w:lang w:val="en-US"/>
        </w:rPr>
      </w:pPr>
      <w:r w:rsidRPr="004A3927">
        <w:rPr>
          <w:rFonts w:asciiTheme="minorHAnsi" w:eastAsia="Calibri" w:hAnsiTheme="minorHAnsi" w:cstheme="minorHAnsi"/>
          <w:bCs/>
          <w:spacing w:val="-4"/>
          <w:sz w:val="24"/>
          <w:szCs w:val="22"/>
          <w:lang w:val="en-US"/>
        </w:rPr>
        <w:t>1.</w:t>
      </w:r>
      <w:r w:rsidRPr="004A3927">
        <w:rPr>
          <w:rFonts w:asciiTheme="minorHAnsi" w:eastAsia="Calibri" w:hAnsiTheme="minorHAnsi" w:cstheme="minorHAnsi"/>
          <w:bCs/>
          <w:i/>
          <w:spacing w:val="-4"/>
          <w:sz w:val="24"/>
          <w:szCs w:val="22"/>
          <w:lang w:val="en-US"/>
        </w:rPr>
        <w:t xml:space="preserve"> </w:t>
      </w:r>
      <w:r w:rsidR="00B46A30" w:rsidRPr="00B46A30">
        <w:rPr>
          <w:rFonts w:asciiTheme="minorHAnsi" w:hAnsiTheme="minorHAnsi" w:cstheme="minorHAnsi"/>
          <w:sz w:val="24"/>
          <w:lang w:val="en-US"/>
        </w:rPr>
        <w:t xml:space="preserve">Pooler, W.J.R.H. Electrical Power / W.J.R.H. Pooler. – London: </w:t>
      </w:r>
      <w:proofErr w:type="spellStart"/>
      <w:r w:rsidR="00B46A30" w:rsidRPr="00B46A30">
        <w:rPr>
          <w:rFonts w:asciiTheme="minorHAnsi" w:hAnsiTheme="minorHAnsi" w:cstheme="minorHAnsi"/>
          <w:sz w:val="24"/>
          <w:lang w:val="en-US"/>
        </w:rPr>
        <w:t>Ventus</w:t>
      </w:r>
      <w:proofErr w:type="spellEnd"/>
      <w:r w:rsidR="00B46A30" w:rsidRPr="00B46A30">
        <w:rPr>
          <w:rFonts w:asciiTheme="minorHAnsi" w:hAnsiTheme="minorHAnsi" w:cstheme="minorHAnsi"/>
          <w:sz w:val="24"/>
          <w:lang w:val="en-US"/>
        </w:rPr>
        <w:t xml:space="preserve"> Publishing, 2011.</w:t>
      </w:r>
      <w:r w:rsidR="00B46A30" w:rsidRPr="00B46A30">
        <w:rPr>
          <w:rFonts w:asciiTheme="minorHAnsi" w:hAnsiTheme="minorHAnsi" w:cstheme="minorHAnsi"/>
          <w:color w:val="000000"/>
          <w:sz w:val="24"/>
          <w:szCs w:val="28"/>
          <w:lang w:val="en-US"/>
        </w:rPr>
        <w:t xml:space="preserve"> – 221 p.</w:t>
      </w:r>
    </w:p>
    <w:sectPr w:rsidR="004A3927" w:rsidRPr="00B46A30" w:rsidSect="00A7032F">
      <w:pgSz w:w="11906" w:h="16838"/>
      <w:pgMar w:top="1134" w:right="1134" w:bottom="1134" w:left="1134" w:header="709" w:footer="709" w:gutter="0"/>
      <w:cols w:space="708"/>
      <w:docGrid w:linePitch="43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016B2"/>
    <w:multiLevelType w:val="hybridMultilevel"/>
    <w:tmpl w:val="4894B8A2"/>
    <w:lvl w:ilvl="0" w:tplc="8FE83C6C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A302A"/>
    <w:multiLevelType w:val="multilevel"/>
    <w:tmpl w:val="FB441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CE1511"/>
    <w:multiLevelType w:val="multilevel"/>
    <w:tmpl w:val="E5C8B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12011F2"/>
    <w:multiLevelType w:val="multilevel"/>
    <w:tmpl w:val="65E8E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1FC6A39"/>
    <w:multiLevelType w:val="hybridMultilevel"/>
    <w:tmpl w:val="AA52A3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4E052FE"/>
    <w:multiLevelType w:val="multilevel"/>
    <w:tmpl w:val="5E86B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8423048"/>
    <w:multiLevelType w:val="multilevel"/>
    <w:tmpl w:val="0902E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A6E"/>
    <w:rsid w:val="000318F3"/>
    <w:rsid w:val="00043846"/>
    <w:rsid w:val="000452E0"/>
    <w:rsid w:val="0004607A"/>
    <w:rsid w:val="000B2616"/>
    <w:rsid w:val="001A575D"/>
    <w:rsid w:val="001C120A"/>
    <w:rsid w:val="002035BF"/>
    <w:rsid w:val="00210E54"/>
    <w:rsid w:val="00220688"/>
    <w:rsid w:val="00251996"/>
    <w:rsid w:val="002C6E86"/>
    <w:rsid w:val="00360FDA"/>
    <w:rsid w:val="003731B1"/>
    <w:rsid w:val="003D5752"/>
    <w:rsid w:val="00410B26"/>
    <w:rsid w:val="00424D05"/>
    <w:rsid w:val="004303D7"/>
    <w:rsid w:val="00472DC5"/>
    <w:rsid w:val="004A14C3"/>
    <w:rsid w:val="004A3927"/>
    <w:rsid w:val="004A7821"/>
    <w:rsid w:val="0051789C"/>
    <w:rsid w:val="00571FC3"/>
    <w:rsid w:val="005B1622"/>
    <w:rsid w:val="005E3C1F"/>
    <w:rsid w:val="005F4E03"/>
    <w:rsid w:val="0062616E"/>
    <w:rsid w:val="00627E97"/>
    <w:rsid w:val="00637571"/>
    <w:rsid w:val="00646B6F"/>
    <w:rsid w:val="0066758B"/>
    <w:rsid w:val="006870CC"/>
    <w:rsid w:val="006C0ABA"/>
    <w:rsid w:val="006C7479"/>
    <w:rsid w:val="006D4A6E"/>
    <w:rsid w:val="006E3468"/>
    <w:rsid w:val="006E7C33"/>
    <w:rsid w:val="00752E84"/>
    <w:rsid w:val="00756FB1"/>
    <w:rsid w:val="007645D1"/>
    <w:rsid w:val="00774067"/>
    <w:rsid w:val="00775B47"/>
    <w:rsid w:val="0084576B"/>
    <w:rsid w:val="00876E76"/>
    <w:rsid w:val="0089314D"/>
    <w:rsid w:val="008D36AB"/>
    <w:rsid w:val="00962EEE"/>
    <w:rsid w:val="009668E1"/>
    <w:rsid w:val="00973AC4"/>
    <w:rsid w:val="00995E35"/>
    <w:rsid w:val="009A0574"/>
    <w:rsid w:val="009F54C9"/>
    <w:rsid w:val="00A20223"/>
    <w:rsid w:val="00A542F6"/>
    <w:rsid w:val="00A7032F"/>
    <w:rsid w:val="00AA1237"/>
    <w:rsid w:val="00AC0C8E"/>
    <w:rsid w:val="00AE744D"/>
    <w:rsid w:val="00B341EC"/>
    <w:rsid w:val="00B41389"/>
    <w:rsid w:val="00B46A30"/>
    <w:rsid w:val="00BA5EF0"/>
    <w:rsid w:val="00BC6371"/>
    <w:rsid w:val="00C02D1E"/>
    <w:rsid w:val="00C24630"/>
    <w:rsid w:val="00C36BD7"/>
    <w:rsid w:val="00D175C1"/>
    <w:rsid w:val="00D245B4"/>
    <w:rsid w:val="00D333AC"/>
    <w:rsid w:val="00DC2416"/>
    <w:rsid w:val="00E137E4"/>
    <w:rsid w:val="00E6305E"/>
    <w:rsid w:val="00E80B08"/>
    <w:rsid w:val="00ED4B47"/>
    <w:rsid w:val="00EF477E"/>
    <w:rsid w:val="00F203AC"/>
    <w:rsid w:val="00F22EA3"/>
    <w:rsid w:val="00F503CD"/>
    <w:rsid w:val="00F662B5"/>
    <w:rsid w:val="00F87518"/>
    <w:rsid w:val="00FB5EA2"/>
    <w:rsid w:val="00FC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7AB30EE"/>
  <w15:docId w15:val="{95F1C64A-277F-45F9-A8EA-1A93B1AA6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32"/>
        <w:szCs w:val="3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574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973A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A5E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0574"/>
    <w:pPr>
      <w:spacing w:after="0" w:line="240" w:lineRule="auto"/>
    </w:pPr>
  </w:style>
  <w:style w:type="paragraph" w:styleId="a4">
    <w:name w:val="List Paragraph"/>
    <w:basedOn w:val="a"/>
    <w:link w:val="a5"/>
    <w:uiPriority w:val="1"/>
    <w:qFormat/>
    <w:rsid w:val="009A0574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667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66758B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667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758B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F503CD"/>
    <w:rPr>
      <w:color w:val="808080"/>
    </w:rPr>
  </w:style>
  <w:style w:type="character" w:customStyle="1" w:styleId="20">
    <w:name w:val="Заголовок 2 Знак"/>
    <w:basedOn w:val="a0"/>
    <w:link w:val="2"/>
    <w:uiPriority w:val="9"/>
    <w:rsid w:val="00BA5EF0"/>
    <w:rPr>
      <w:rFonts w:ascii="Times New Roman" w:eastAsia="Times New Roman" w:hAnsi="Times New Roman" w:cs="Times New Roman"/>
      <w:bCs/>
      <w:sz w:val="36"/>
      <w:szCs w:val="36"/>
      <w:lang w:eastAsia="ru-RU"/>
    </w:rPr>
  </w:style>
  <w:style w:type="character" w:customStyle="1" w:styleId="headingtext">
    <w:name w:val="heading_text"/>
    <w:basedOn w:val="a0"/>
    <w:rsid w:val="00BA5EF0"/>
  </w:style>
  <w:style w:type="character" w:customStyle="1" w:styleId="butback">
    <w:name w:val="butback"/>
    <w:basedOn w:val="a0"/>
    <w:rsid w:val="005F4E03"/>
  </w:style>
  <w:style w:type="character" w:customStyle="1" w:styleId="submenu-table">
    <w:name w:val="submenu-table"/>
    <w:basedOn w:val="a0"/>
    <w:rsid w:val="005F4E03"/>
  </w:style>
  <w:style w:type="character" w:customStyle="1" w:styleId="10">
    <w:name w:val="Заголовок 1 Знак"/>
    <w:basedOn w:val="a0"/>
    <w:link w:val="1"/>
    <w:uiPriority w:val="9"/>
    <w:rsid w:val="00973AC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b">
    <w:name w:val="Hyperlink"/>
    <w:basedOn w:val="a0"/>
    <w:uiPriority w:val="99"/>
    <w:semiHidden/>
    <w:unhideWhenUsed/>
    <w:rsid w:val="00D333AC"/>
    <w:rPr>
      <w:color w:val="0000FF"/>
      <w:u w:val="single"/>
    </w:rPr>
  </w:style>
  <w:style w:type="table" w:styleId="ac">
    <w:name w:val="Table Grid"/>
    <w:basedOn w:val="a1"/>
    <w:uiPriority w:val="59"/>
    <w:rsid w:val="00045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qFormat/>
    <w:rsid w:val="00A7032F"/>
    <w:pPr>
      <w:widowControl w:val="0"/>
      <w:spacing w:after="0" w:line="18" w:lineRule="atLeast"/>
      <w:jc w:val="center"/>
    </w:pPr>
    <w:rPr>
      <w:rFonts w:ascii="Times New Roman" w:eastAsia="Times New Roman" w:hAnsi="Times New Roman" w:cs="Times New Roman"/>
      <w:sz w:val="20"/>
      <w:szCs w:val="28"/>
      <w:lang w:eastAsia="ru-RU"/>
    </w:rPr>
  </w:style>
  <w:style w:type="character" w:customStyle="1" w:styleId="22">
    <w:name w:val="Основной текст 2 Знак"/>
    <w:basedOn w:val="a0"/>
    <w:link w:val="21"/>
    <w:rsid w:val="00A7032F"/>
    <w:rPr>
      <w:rFonts w:ascii="Times New Roman" w:eastAsia="Times New Roman" w:hAnsi="Times New Roman" w:cs="Times New Roman"/>
      <w:sz w:val="20"/>
      <w:szCs w:val="28"/>
      <w:lang w:eastAsia="ru-RU"/>
    </w:rPr>
  </w:style>
  <w:style w:type="character" w:customStyle="1" w:styleId="a5">
    <w:name w:val="Абзац списка Знак"/>
    <w:basedOn w:val="a0"/>
    <w:link w:val="a4"/>
    <w:uiPriority w:val="1"/>
    <w:rsid w:val="00B46A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8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7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6E6E6"/>
            <w:right w:val="none" w:sz="0" w:space="0" w:color="auto"/>
          </w:divBdr>
          <w:divsChild>
            <w:div w:id="53192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2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6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30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73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75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63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614436">
              <w:marLeft w:val="0"/>
              <w:marRight w:val="0"/>
              <w:marTop w:val="1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19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03644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6733">
              <w:marLeft w:val="0"/>
              <w:marRight w:val="0"/>
              <w:marTop w:val="1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65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636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49902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959182">
              <w:marLeft w:val="0"/>
              <w:marRight w:val="0"/>
              <w:marTop w:val="1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2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7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080923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3243">
              <w:marLeft w:val="0"/>
              <w:marRight w:val="0"/>
              <w:marTop w:val="1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1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10997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423942">
              <w:marLeft w:val="0"/>
              <w:marRight w:val="0"/>
              <w:marTop w:val="1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87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56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96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00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38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27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32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11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233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92375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72641">
              <w:marLeft w:val="0"/>
              <w:marRight w:val="0"/>
              <w:marTop w:val="1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1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3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1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9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8EBA1-2F43-4723-A0CB-B5FDFF4A9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2008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Гатина</dc:creator>
  <cp:lastModifiedBy>Dell</cp:lastModifiedBy>
  <cp:revision>39</cp:revision>
  <cp:lastPrinted>2022-05-06T17:44:00Z</cp:lastPrinted>
  <dcterms:created xsi:type="dcterms:W3CDTF">2022-05-04T08:32:00Z</dcterms:created>
  <dcterms:modified xsi:type="dcterms:W3CDTF">2022-10-22T11:21:00Z</dcterms:modified>
</cp:coreProperties>
</file>